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21 304/29 vom 9. August 2021</w:t>
      </w:r>
    </w:p>
    <w:p>
      <w:r>
        <w:t>BL Gerichte, 2021-08-09, DE</w:t>
      </w:r>
    </w:p>
    <w:p>
      <w:r>
        <w:rPr>
          <w:b/>
        </w:rPr>
        <w:t xml:space="preserve">Quelle: </w:t>
      </w:r>
      <w:r>
        <w:t>https://mcp.opencaselaw.ch/entscheid/bl_gerichte_745 21 304_29</w:t>
      </w:r>
    </w:p>
    <w:p>
      <w:r>
        <w:t>FR: BL_GERICHTE 745 21 304/29 du 9 août 2021</w:t>
      </w:r>
    </w:p>
    <w:p>
      <w:r>
        <w:t>IT: BL_GERICHTE 745 21 304/29 del 9 agosto 2021</w:t>
      </w:r>
    </w:p>
    <w:p>
      <w:pPr>
        <w:pStyle w:val="Heading2"/>
      </w:pPr>
      <w:r>
        <w:t>Regeste</w:t>
      </w:r>
    </w:p>
    <w:p>
      <w:r>
        <w:t>Rückforderung</w:t>
      </w:r>
    </w:p>
    <w:p>
      <w:pPr>
        <w:pStyle w:val="Heading2"/>
      </w:pPr>
      <w:r>
        <w:t>Erwägungen</w:t>
      </w:r>
    </w:p>
    <w:p>
      <w:r>
        <w:rPr>
          <w:b/>
        </w:rPr>
        <w:t>E. 2</w:t>
      </w:r>
    </w:p>
    <w:p>
      <w:r>
        <w:t>Strittig und zu prüfen ist, ob und gegebenenfalls in welchem Umfang der Beschwerdeführer erhaltene EL zurückzahlen muss und ob bei der Bemessung der EL Berufsauslagen zu berücksichtigen sind. Massgebend ist der Sachverhalt, wie er sich bis zum Erlass des angefochtenen Einspracheentscheids vom 14. September 2021 entwickelt hat. Dieser Zeitpunkt bildet rechtsprechungsgemäss die zeitliche Grenze der richterlichen Überprüfungsbefugnis (vgl. BGE 129 V 1 E. 1.2).</w:t>
      </w:r>
    </w:p>
    <w:p>
      <w:r>
        <w:rPr>
          <w:b/>
        </w:rPr>
        <w:t>E. 3</w:t>
      </w:r>
    </w:p>
    <w:p>
      <w:r>
        <w:t>Anspruch auf EL haben - gemäss den bis 31. Dezember 2020 gültig gewesenen und den ab 1. Januar 2021 in Kraft stehenden Bestimmungen -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Ergänzungsleistung (Art. 9 Abs. 1 ELG). Zeitlich massgebend für die Berechnung der jährlichen EL sind in der Regel die während des vorausgegangenen Kalenderjahres erzielten anrechenbaren Einnahmen sowie das am 1. Januar des Bezugsjahres vorhandene Vermögen (Art. 23 Abs. 1 ELV). Als Einnahmen anzurechnen sind unter anderem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ELG). Gemäss Art. 10 Abs. 3 lit. a ELG können Gewinnungskosten bis zur Höhe des Bruttoerwerbseinkommens vom Erwerbseinkommen abgezogen werden.</w:t>
      </w:r>
    </w:p>
    <w:p>
      <w:r>
        <w:rPr>
          <w:b/>
        </w:rPr>
        <w:t>E. 4</w:t>
      </w:r>
    </w:p>
    <w:p>
      <w:r>
        <w:t>In verfahrensrechtlicher Hinsicht ist auf folgende Grundsätze hinzuweisen: Das Sozialversicherungsgericht hat die Abklärung des Sachverhalts gemäss dem im Sozialversicherungsverfahren geltenden Untersuchungsgrundsatz von Amtes wegen vorzunehmen (Art. 61 lit. c ATSG). Danach hat es von sich aus und ohne Bindung an die Parteibegehren für die richtige und vollständige Feststellung des Sachverhaltes zu sorgen (vgl. BGE 125 V 193 E. 2). Im Rahmen der Rechtsanwendung von Amtes wegen hat es ferner auf den festgestellten Sachverhalt denjenigen Rechtssatz anzuwenden, den es als zutreffend ansieht, und ihm auch die Auslegung zu geben, von der es überzeugt ist (vgl. BGE 110 V 48 E. 4a, 116 V 23 E. 3c). Es hat sich dabei nicht darauf zu beschränken, den Streitgegenstand bloss im Hinblick auf die von den Parteien aufgeworfenen Rechtsfragen zu überprüfen. Vielmehr kann es eine Beschwerde aus anderen Gründen gutheissen oder abweisen als von der Beschwerde führenden Partei vorgetragen oder von der Vorinstanz erwogen (vgl. BGE 119 V 26 E. 1b mit Hinweisen, 119 V 440 E. 1a). Dem Sozialversicherungsgericht kommt in Sozialversicherungssachen sodann eine vollständige Überprüfungsbefugnis zu. Es ist in der Beweiswürdigung frei (vgl. § 57 VPO in Verbindung mit Art. 61 Satz 1 ATSG; Art. 61 lit. c ATSG). Die Verwaltung als verfügende Instanz und - im Beschwerdefall - das Sozialversicherungsgericht dürfen eine Tatsache somit nur dann als bewiesen annehmen, wenn sie von ihrem Bestehen überzeugt sind. Im Sozialversicherungsrecht hat das Sozialversicherungsgericht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144 V 427 E. 3.2). 5.1 In einem ersten Schritt ist zu prüfen, ob die Beschwerdegegnerin aufgrund des am 11. Februar 2021 eingereichten Lohnausweises 2020 zu Recht eine Neuberechnung des EL-Anspruchs in der Zeit von Januar 2020 bis Juli 2021 vornahm und mit Verfügung vom 9. August 2021 einen Rückforderungsanspruch von Fr. 2'001.-- geltend machte. 5.2 Gemäss Art. 25 Abs. 1 lit. c ELV ist die jährliche EL insbesondere bei Eintritt einer voraussichtlich längere Zeit dauernden Verminderung oder Erhöhung der vom ELG anerkannten Ausgaben und anrechenbaren Einnahmen zu erhöhen, herabzusetzen oder aufzuheben. Die auf Art. 25 Abs. 1 lit. c ELV gestützte Aufhebung oder Herabsetzung der jährlichen EL erfolgt, falls keine Meldepflichtverletzung vorliegt, vom Beginn des Monats an, der dem Erlass der entsprechenden Verfügung unmittelbar folgt (Art. 25 Abs. 2 lit. c ELV). 5.3 Vorliegend reichte der Beschwerdeführer den Lohnausweis 2020 vom 8. Februar 2021 umgehend der Beschwerdegegnerin weiter (Eingang bei der Ausgleichskasse am 11. Februar 2021). Damit kam er seiner Meldepflicht vollumfänglich nach. Etwas anderes macht die Beschwerdegegnerin zu Recht nicht geltend. Aus diesem Grund hätte die Anpassung der anrechenbaren Einnahmen in Anwendung von Art. 25 Abs. 2 lit. c ELV somit erst per 1. September 2021 vorgenommen werden dürfen (vgl. auch Urteil des Bundesgerichts vom 12. März 2019, 9C_747/2018, E. 3.3). Die Rückforderung der EL für die Monate Januar 2020 bis Juli 2021 ist damit nicht rechtmässig und die Beschwerde ist in diesem Punkt gutzuheissen. 6.1 Fraglich ist, ob bei der Bemessung des Leistungsanspruchs Gewinnungskosten (Art. 10 Abs. 3 lit. a ELG) einzurechnen sind. Bisher anerkannte die Beschwerdegegnerin - ohne einen entsprechenden Beleg zu verlangen - die Kosten für das U-Abo von Fr. 804.-- pro Jahr. Neu berücksichtigt sie die Kosten für Fahrspesen nur, wenn sie ausgewiesen sind. 6.2 Als Gewinnungskosten im Sinne von Art. 10 Abs. 3 lit. a ELG sind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(vgl. Urteil des Bundesgerichts vom 14. Januar 2020, 9C_486/2019, E. 3.4.2.1 mit Hinweis). Als notwendige Gewinnungskosten sind daher nur die Auslagen für den Arbeitsweg vom Wohnort zur Arbeitsstätte miteinzubeziehen. 6.3 Ob und gegebenenfalls in welcher Höhe beim Beschwerdeführer im hier zu beurteilenden Zeitraum bis 14. September 2021 Berufskosten einzubeziehen sind, erschliesst sich aufgrund der vorliegenden Unterlagen nicht. Dieser Aspekt ist aber relevant, da er seinen Leistungsanspruch beschlägt. Die Beschwerdegegnerin hat diesbezüglich keinerlei Abklärungen getroffen und es damit versäumt, den Sachverhalt in diesem Punkt rechtsgenüglich abzuklären. So wie sich die Aktenlage präsentiert, ist der massgebende Sachverhalt im Sinne von Art. 43 Abs. 1 ATSG nicht ausreichend abgeklärt. Da es nicht die Aufgabe der kantonalen Gerichte ist, im Verwaltungsverfahren versäumte Abklärungen nachzuholen, wird die Beschwerdegegnerin angehalten, zu prüfen, ob sich die Aufwendungen für das U-Abo unmittelbar aus einer Berufstätigkeit ergeben und bei der Bemessung des Leistungsanspruchs einzurechnen sind.</w:t>
      </w:r>
    </w:p>
    <w:p>
      <w:r>
        <w:rPr>
          <w:b/>
        </w:rPr>
        <w:t>E. 7</w:t>
      </w:r>
    </w:p>
    <w:p>
      <w:r>
        <w:t>Nach dem Gesagten ist die Rückforderung der Beschwerdegegnerin in der Höhe von Fr. 2'001.-- zu Unrecht erfolgt. Hinsichtlich der geltend gemachten Gewinnungskosten wird die Beschwerdegegnerin prüfen müssen, ob bei der Bemessung des Leistungsanspruchs die Kosten für das U-Abo einzurechnen sind. Hernach wird sie - gegebenenfalls in Anwendung von Art. 25 ELV - über den EL-Anspruch des Beschwerdeführers neu zu verfügen haben. Die Beschwerde ist in dem Sinne gutzuheissen.</w:t>
      </w:r>
    </w:p>
    <w:p>
      <w:r>
        <w:rPr>
          <w:b/>
        </w:rPr>
        <w:t>E. 8</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Eine Parteientschädigung wird beim nicht anwaltlich vertretenen Beschwerdeführer nicht ausgerichtet.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Ausgleichskasse vom 14. September 2021 aufgehoben und die Angelegenheit zur weiteren Abklärung im Sinne der Erwägungen und zum Erlass einer neuen 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